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EDBC" w14:textId="2E374FBD" w:rsidR="00985941" w:rsidRDefault="00E51200">
      <w:pPr>
        <w:rPr>
          <w:rFonts w:ascii="Times New Roman" w:hAnsi="Times New Roman"/>
        </w:rPr>
      </w:pPr>
      <w:r>
        <w:rPr>
          <w:rFonts w:ascii="Palatino" w:hAnsi="Palatino"/>
          <w:noProof/>
        </w:rPr>
        <w:drawing>
          <wp:anchor distT="0" distB="0" distL="114300" distR="114300" simplePos="0" relativeHeight="251659264" behindDoc="0" locked="0" layoutInCell="1" allowOverlap="1" wp14:anchorId="1AFAE0A0" wp14:editId="2588213C">
            <wp:simplePos x="0" y="0"/>
            <wp:positionH relativeFrom="column">
              <wp:posOffset>0</wp:posOffset>
            </wp:positionH>
            <wp:positionV relativeFrom="paragraph">
              <wp:posOffset>252730</wp:posOffset>
            </wp:positionV>
            <wp:extent cx="3200400" cy="1143476"/>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5" cstate="print">
                      <a:alphaModFix/>
                      <a:extLst>
                        <a:ext uri="{28A0092B-C50C-407E-A947-70E740481C1C}">
                          <a14:useLocalDpi xmlns:a14="http://schemas.microsoft.com/office/drawing/2010/main" val="0"/>
                        </a:ext>
                      </a:extLst>
                    </a:blip>
                    <a:stretch>
                      <a:fillRect/>
                    </a:stretch>
                  </pic:blipFill>
                  <pic:spPr>
                    <a:xfrm>
                      <a:off x="0" y="0"/>
                      <a:ext cx="3200400" cy="1143476"/>
                    </a:xfrm>
                    <a:prstGeom prst="rect">
                      <a:avLst/>
                    </a:prstGeom>
                  </pic:spPr>
                </pic:pic>
              </a:graphicData>
            </a:graphic>
            <wp14:sizeRelH relativeFrom="page">
              <wp14:pctWidth>0</wp14:pctWidth>
            </wp14:sizeRelH>
            <wp14:sizeRelV relativeFrom="page">
              <wp14:pctHeight>0</wp14:pctHeight>
            </wp14:sizeRelV>
          </wp:anchor>
        </w:drawing>
      </w:r>
    </w:p>
    <w:p w14:paraId="179BC5CE" w14:textId="77777777" w:rsidR="00985941" w:rsidRDefault="00985941">
      <w:pPr>
        <w:rPr>
          <w:rFonts w:ascii="Times New Roman" w:hAnsi="Times New Roman"/>
        </w:rPr>
      </w:pPr>
    </w:p>
    <w:p w14:paraId="7FC2AA44" w14:textId="77777777" w:rsidR="00985941" w:rsidRDefault="00985941">
      <w:pPr>
        <w:rPr>
          <w:rFonts w:ascii="Times New Roman" w:hAnsi="Times New Roman"/>
        </w:rPr>
      </w:pPr>
    </w:p>
    <w:p w14:paraId="2EC4E1A0" w14:textId="77777777" w:rsidR="00985941" w:rsidRDefault="00985941" w:rsidP="00985941">
      <w:pPr>
        <w:rPr>
          <w:rFonts w:ascii="Times New Roman" w:hAnsi="Times New Roman"/>
        </w:rPr>
      </w:pPr>
      <w:r>
        <w:rPr>
          <w:rFonts w:ascii="Times New Roman" w:hAnsi="Times New Roman"/>
        </w:rPr>
        <w:t>January 12, 2021</w:t>
      </w:r>
    </w:p>
    <w:p w14:paraId="52108413" w14:textId="77777777" w:rsidR="00985941" w:rsidRDefault="00985941" w:rsidP="00985941">
      <w:pPr>
        <w:rPr>
          <w:rFonts w:ascii="Times New Roman" w:hAnsi="Times New Roman"/>
        </w:rPr>
      </w:pPr>
      <w:r>
        <w:rPr>
          <w:rFonts w:ascii="Times New Roman" w:hAnsi="Times New Roman"/>
        </w:rPr>
        <w:t>Groton Conservation Commission</w:t>
      </w:r>
    </w:p>
    <w:p w14:paraId="5EA7BBA5" w14:textId="77777777" w:rsidR="00985941" w:rsidRDefault="00985941" w:rsidP="00985941">
      <w:pPr>
        <w:rPr>
          <w:rFonts w:ascii="Times New Roman" w:hAnsi="Times New Roman"/>
        </w:rPr>
      </w:pPr>
      <w:r>
        <w:rPr>
          <w:rFonts w:ascii="Times New Roman" w:hAnsi="Times New Roman"/>
        </w:rPr>
        <w:t>C/o Nik Gualco- Conservation Administrator</w:t>
      </w:r>
    </w:p>
    <w:p w14:paraId="63D6949D" w14:textId="77777777" w:rsidR="00985941" w:rsidRDefault="00985941" w:rsidP="00985941">
      <w:pPr>
        <w:rPr>
          <w:rFonts w:ascii="Times New Roman" w:hAnsi="Times New Roman"/>
        </w:rPr>
      </w:pPr>
      <w:r>
        <w:rPr>
          <w:rFonts w:ascii="Times New Roman" w:hAnsi="Times New Roman"/>
        </w:rPr>
        <w:t>Town of Groton</w:t>
      </w:r>
    </w:p>
    <w:p w14:paraId="753AF289" w14:textId="77777777" w:rsidR="00985941" w:rsidRDefault="00985941" w:rsidP="00985941">
      <w:pPr>
        <w:rPr>
          <w:rFonts w:ascii="Times New Roman" w:hAnsi="Times New Roman"/>
        </w:rPr>
      </w:pPr>
    </w:p>
    <w:p w14:paraId="187D55E3" w14:textId="4C56E285" w:rsidR="00985941" w:rsidRDefault="00985941" w:rsidP="00985941">
      <w:pPr>
        <w:rPr>
          <w:rFonts w:ascii="Times New Roman" w:hAnsi="Times New Roman"/>
        </w:rPr>
      </w:pPr>
      <w:r>
        <w:rPr>
          <w:rFonts w:ascii="Times New Roman" w:hAnsi="Times New Roman"/>
        </w:rPr>
        <w:t>Members of the Conservation Commission:</w:t>
      </w:r>
    </w:p>
    <w:p w14:paraId="403B09DB" w14:textId="77777777" w:rsidR="00985941" w:rsidRDefault="00985941">
      <w:pPr>
        <w:rPr>
          <w:rFonts w:ascii="Times New Roman" w:hAnsi="Times New Roman"/>
        </w:rPr>
      </w:pPr>
    </w:p>
    <w:p w14:paraId="3FDD24EC" w14:textId="0C0F650C" w:rsidR="006A413C" w:rsidRPr="00923720" w:rsidRDefault="00720E21">
      <w:pPr>
        <w:rPr>
          <w:rFonts w:ascii="Times New Roman" w:hAnsi="Times New Roman"/>
        </w:rPr>
      </w:pPr>
      <w:r w:rsidRPr="00923720">
        <w:rPr>
          <w:rFonts w:ascii="Times New Roman" w:hAnsi="Times New Roman"/>
        </w:rPr>
        <w:t>The Groton Conservation Trust is an abutter to the proposed “The Village at Shepley Hill” project, and the Trust also serves as an advocate for environmental protection throughout the Town of Groton</w:t>
      </w:r>
      <w:r w:rsidR="00D167E5" w:rsidRPr="00923720">
        <w:rPr>
          <w:rFonts w:ascii="Times New Roman" w:hAnsi="Times New Roman"/>
        </w:rPr>
        <w:t xml:space="preserve"> and regionally</w:t>
      </w:r>
      <w:r w:rsidRPr="00923720">
        <w:rPr>
          <w:rFonts w:ascii="Times New Roman" w:hAnsi="Times New Roman"/>
        </w:rPr>
        <w:t>.</w:t>
      </w:r>
      <w:r w:rsidR="00D167E5" w:rsidRPr="00923720">
        <w:rPr>
          <w:rFonts w:ascii="Times New Roman" w:hAnsi="Times New Roman"/>
        </w:rPr>
        <w:t xml:space="preserve"> That advocacy resulted in the designation of the </w:t>
      </w:r>
      <w:proofErr w:type="spellStart"/>
      <w:r w:rsidR="00D167E5" w:rsidRPr="00923720">
        <w:rPr>
          <w:rFonts w:ascii="Times New Roman" w:hAnsi="Times New Roman"/>
        </w:rPr>
        <w:t>Petapawag</w:t>
      </w:r>
      <w:proofErr w:type="spellEnd"/>
      <w:r w:rsidR="00D167E5" w:rsidRPr="00923720">
        <w:rPr>
          <w:rFonts w:ascii="Times New Roman" w:hAnsi="Times New Roman"/>
        </w:rPr>
        <w:t xml:space="preserve"> Area of Critical Environmental Concern in 2002</w:t>
      </w:r>
      <w:r w:rsidR="00610DA8" w:rsidRPr="00923720">
        <w:rPr>
          <w:rFonts w:ascii="Times New Roman" w:hAnsi="Times New Roman"/>
        </w:rPr>
        <w:t>, in which this project lies</w:t>
      </w:r>
      <w:r w:rsidR="00F56221" w:rsidRPr="00923720">
        <w:rPr>
          <w:rFonts w:ascii="Times New Roman" w:hAnsi="Times New Roman"/>
        </w:rPr>
        <w:t>.</w:t>
      </w:r>
      <w:r w:rsidRPr="00923720">
        <w:rPr>
          <w:rFonts w:ascii="Times New Roman" w:hAnsi="Times New Roman"/>
        </w:rPr>
        <w:t xml:space="preserve"> The impact of this project is substantial and would, as currently proposed, cause considerable harm</w:t>
      </w:r>
      <w:r w:rsidR="00F56221" w:rsidRPr="00923720">
        <w:rPr>
          <w:rFonts w:ascii="Times New Roman" w:hAnsi="Times New Roman"/>
        </w:rPr>
        <w:t xml:space="preserve"> within that ACEC</w:t>
      </w:r>
      <w:r w:rsidRPr="00923720">
        <w:rPr>
          <w:rFonts w:ascii="Times New Roman" w:hAnsi="Times New Roman"/>
        </w:rPr>
        <w:t>.</w:t>
      </w:r>
      <w:r w:rsidR="00985941">
        <w:rPr>
          <w:rFonts w:ascii="Times New Roman" w:hAnsi="Times New Roman"/>
        </w:rPr>
        <w:t xml:space="preserve"> Accordingly, we are voicing our opposition to the project as currently designed.</w:t>
      </w:r>
    </w:p>
    <w:p w14:paraId="3F8DE049" w14:textId="3A50F05F" w:rsidR="00720E21" w:rsidRPr="00923720" w:rsidRDefault="00720E21">
      <w:pPr>
        <w:rPr>
          <w:rFonts w:ascii="Times New Roman" w:hAnsi="Times New Roman"/>
        </w:rPr>
      </w:pPr>
      <w:r w:rsidRPr="00923720">
        <w:rPr>
          <w:rFonts w:ascii="Times New Roman" w:hAnsi="Times New Roman"/>
        </w:rPr>
        <w:t xml:space="preserve">An essential component of this project is the approval of three separate wetland crossings, each to be considered a “limited project” under the provisions of 310 CMR 10.53 (3)(e) and 310 CMR 10.55(4). The intent of these provisions is to permit wetland impacts </w:t>
      </w:r>
      <w:r w:rsidR="00610DA8" w:rsidRPr="00923720">
        <w:rPr>
          <w:rFonts w:ascii="Times New Roman" w:hAnsi="Times New Roman"/>
        </w:rPr>
        <w:t>essential to provide</w:t>
      </w:r>
      <w:r w:rsidRPr="00923720">
        <w:rPr>
          <w:rFonts w:ascii="Times New Roman" w:hAnsi="Times New Roman"/>
        </w:rPr>
        <w:t xml:space="preserve"> a landowner reasonable access to upland areas of their property if measures are put in place to minimize and mitigate those impacts. </w:t>
      </w:r>
      <w:r w:rsidR="00D167E5" w:rsidRPr="00923720">
        <w:rPr>
          <w:rFonts w:ascii="Times New Roman" w:hAnsi="Times New Roman"/>
        </w:rPr>
        <w:t>Their intent is not to allow as many wetland crossings as desired to support a landowner’s development plans.</w:t>
      </w:r>
    </w:p>
    <w:p w14:paraId="57929807" w14:textId="599BE15C" w:rsidR="00D167E5" w:rsidRPr="00923720" w:rsidRDefault="00D167E5">
      <w:pPr>
        <w:rPr>
          <w:rFonts w:ascii="Times New Roman" w:hAnsi="Times New Roman"/>
        </w:rPr>
      </w:pPr>
      <w:r w:rsidRPr="00923720">
        <w:rPr>
          <w:rFonts w:ascii="Times New Roman" w:hAnsi="Times New Roman"/>
        </w:rPr>
        <w:t xml:space="preserve">The language in 310 CMR 10.53(3)(e) consistently refers to a single wetland crossing </w:t>
      </w:r>
      <w:r w:rsidR="00610DA8" w:rsidRPr="00923720">
        <w:rPr>
          <w:rFonts w:ascii="Times New Roman" w:hAnsi="Times New Roman"/>
        </w:rPr>
        <w:t>accessing</w:t>
      </w:r>
      <w:r w:rsidRPr="00923720">
        <w:rPr>
          <w:rFonts w:ascii="Times New Roman" w:hAnsi="Times New Roman"/>
        </w:rPr>
        <w:t xml:space="preserve"> a single part of the property – “a new roadway or driveway”, “the roadway or driveway”, “an upland area” – and even requires the use of the landowner’s adjacent property as an alternative if suitable. The regulations clearly anticipated that, in cases where the Conservation Commission uses its discretionary authority to accept a limited project, there would be only one such wetland crossing.</w:t>
      </w:r>
    </w:p>
    <w:p w14:paraId="724256F2" w14:textId="79ADD18B" w:rsidR="00D167E5" w:rsidRPr="00923720" w:rsidRDefault="00D167E5">
      <w:pPr>
        <w:rPr>
          <w:rFonts w:ascii="Times New Roman" w:hAnsi="Times New Roman"/>
        </w:rPr>
      </w:pPr>
      <w:r w:rsidRPr="00923720">
        <w:rPr>
          <w:rFonts w:ascii="Times New Roman" w:hAnsi="Times New Roman"/>
        </w:rPr>
        <w:t xml:space="preserve">The Department of Environmental Protection has published </w:t>
      </w:r>
      <w:hyperlink r:id="rId6" w:history="1">
        <w:r w:rsidRPr="008342CF">
          <w:rPr>
            <w:rStyle w:val="Hyperlink"/>
            <w:rFonts w:ascii="Times New Roman" w:hAnsi="Times New Roman"/>
          </w:rPr>
          <w:t>Wetlands Policy 88-</w:t>
        </w:r>
        <w:r w:rsidR="008342CF" w:rsidRPr="008342CF">
          <w:rPr>
            <w:rStyle w:val="Hyperlink"/>
            <w:rFonts w:ascii="Times New Roman" w:hAnsi="Times New Roman"/>
          </w:rPr>
          <w:t>2</w:t>
        </w:r>
        <w:r w:rsidRPr="008342CF">
          <w:rPr>
            <w:rStyle w:val="Hyperlink"/>
            <w:rFonts w:ascii="Times New Roman" w:hAnsi="Times New Roman"/>
          </w:rPr>
          <w:t>: Access Roadways</w:t>
        </w:r>
      </w:hyperlink>
      <w:r w:rsidRPr="00923720">
        <w:rPr>
          <w:rFonts w:ascii="Times New Roman" w:hAnsi="Times New Roman"/>
        </w:rPr>
        <w:t xml:space="preserve"> as a guide to the interpretation of 310 CMR 10.53(3)(e). </w:t>
      </w:r>
      <w:r w:rsidR="00F56221" w:rsidRPr="00923720">
        <w:rPr>
          <w:rFonts w:ascii="Times New Roman" w:hAnsi="Times New Roman"/>
        </w:rPr>
        <w:t>It explains that:</w:t>
      </w:r>
    </w:p>
    <w:p w14:paraId="122F8C52" w14:textId="77777777" w:rsidR="00D167E5" w:rsidRPr="00923720" w:rsidRDefault="00D167E5" w:rsidP="00F56221">
      <w:pPr>
        <w:pStyle w:val="Quote"/>
        <w:jc w:val="left"/>
        <w:rPr>
          <w:rFonts w:ascii="Times New Roman" w:hAnsi="Times New Roman"/>
        </w:rPr>
      </w:pPr>
      <w:r w:rsidRPr="00923720">
        <w:rPr>
          <w:rFonts w:ascii="Times New Roman" w:hAnsi="Times New Roman"/>
        </w:rPr>
        <w:t xml:space="preserve">These provisions merely provide the discretion to permit these projects and the authority to impose conditions which, in addition to those set forth in the applicable portion of 310 CMR 10.53(3), the issuing authority determines are necessary to adequately protect the interests of the Wetlands Protection Act, </w:t>
      </w:r>
      <w:r w:rsidRPr="00923720">
        <w:rPr>
          <w:rFonts w:ascii="Times New Roman" w:hAnsi="Times New Roman"/>
        </w:rPr>
        <w:lastRenderedPageBreak/>
        <w:t>M.G.L. c. 131, s.40. The issuing authority is not required to give approval to all projects filed under this provision, but should examine the facts and determine whether the project qualifies as a limited project.</w:t>
      </w:r>
    </w:p>
    <w:p w14:paraId="6FA75631" w14:textId="36AAA532" w:rsidR="00F56221" w:rsidRPr="00923720" w:rsidRDefault="00F56221" w:rsidP="00D167E5">
      <w:pPr>
        <w:rPr>
          <w:rFonts w:ascii="Times New Roman" w:hAnsi="Times New Roman"/>
        </w:rPr>
      </w:pPr>
      <w:r w:rsidRPr="00923720">
        <w:rPr>
          <w:rFonts w:ascii="Times New Roman" w:hAnsi="Times New Roman"/>
        </w:rPr>
        <w:t>The guidelines point out that Conservation Commissions must consider specific conditions that may make a limited project designation inappropriate</w:t>
      </w:r>
      <w:r w:rsidR="00610DA8" w:rsidRPr="00923720">
        <w:rPr>
          <w:rFonts w:ascii="Times New Roman" w:hAnsi="Times New Roman"/>
        </w:rPr>
        <w:t>:</w:t>
      </w:r>
    </w:p>
    <w:p w14:paraId="0899701F" w14:textId="4E1D152C" w:rsidR="00D167E5" w:rsidRPr="00D167E5" w:rsidRDefault="00D167E5" w:rsidP="00F56221">
      <w:pPr>
        <w:pStyle w:val="Quote"/>
        <w:jc w:val="left"/>
        <w:rPr>
          <w:rFonts w:ascii="Times New Roman" w:hAnsi="Times New Roman"/>
        </w:rPr>
      </w:pPr>
      <w:r w:rsidRPr="00D167E5">
        <w:rPr>
          <w:rFonts w:ascii="Times New Roman" w:hAnsi="Times New Roman"/>
        </w:rPr>
        <w:t>If, however, it is particularly important to avoid alteration of this wetland in order to protect the interests of the Act, for example when the wetland: lies adjacent to or above a public water supply, particularly in an area that is the primary cone of influence to a well; is in an Area of Critical Environmental Concern; contains rare species habitat; is a Class A designated water body by the Division of Water Pollution Control; is an anadromous fish run; or has some other special environmental attribute, the issuing authority may appropriately deny the same proposal.</w:t>
      </w:r>
    </w:p>
    <w:p w14:paraId="5E246880" w14:textId="2B4E9C3A" w:rsidR="00D167E5" w:rsidRPr="00923720" w:rsidRDefault="00F56221">
      <w:pPr>
        <w:rPr>
          <w:rFonts w:ascii="Times New Roman" w:hAnsi="Times New Roman"/>
        </w:rPr>
      </w:pPr>
      <w:r w:rsidRPr="00923720">
        <w:rPr>
          <w:rFonts w:ascii="Times New Roman" w:hAnsi="Times New Roman"/>
        </w:rPr>
        <w:t>This policy recognizes that, despite the language in the regulations, multiple limited projects may be permitted on large parcels of land. But by their nature limited projects must be limited in number</w:t>
      </w:r>
      <w:r w:rsidR="00874E18">
        <w:rPr>
          <w:rFonts w:ascii="Times New Roman" w:hAnsi="Times New Roman"/>
        </w:rPr>
        <w:t>, and each wetland crossing is considered a separate limited project.</w:t>
      </w:r>
    </w:p>
    <w:p w14:paraId="4A116942" w14:textId="4A3BC0F5" w:rsidR="00F56221" w:rsidRPr="00923720" w:rsidRDefault="00923720">
      <w:pPr>
        <w:rPr>
          <w:rFonts w:ascii="Times New Roman" w:hAnsi="Times New Roman"/>
        </w:rPr>
      </w:pPr>
      <w:r w:rsidRPr="00923720">
        <w:rPr>
          <w:rFonts w:ascii="Times New Roman" w:hAnsi="Times New Roman"/>
        </w:rPr>
        <w:t xml:space="preserve">The applicant’s plans show that the </w:t>
      </w:r>
      <w:r w:rsidR="00F56221" w:rsidRPr="00923720">
        <w:rPr>
          <w:rFonts w:ascii="Times New Roman" w:hAnsi="Times New Roman"/>
        </w:rPr>
        <w:t>parcel on which this project is proposed has two upland areas. Each is accessible from a public way by a single wetland crossing, a</w:t>
      </w:r>
      <w:r w:rsidRPr="00923720">
        <w:rPr>
          <w:rFonts w:ascii="Times New Roman" w:hAnsi="Times New Roman"/>
        </w:rPr>
        <w:t xml:space="preserve">nd such crossings are </w:t>
      </w:r>
      <w:r w:rsidR="00F56221" w:rsidRPr="00923720">
        <w:rPr>
          <w:rFonts w:ascii="Times New Roman" w:hAnsi="Times New Roman"/>
        </w:rPr>
        <w:t xml:space="preserve">shown on </w:t>
      </w:r>
      <w:r w:rsidRPr="00923720">
        <w:rPr>
          <w:rFonts w:ascii="Times New Roman" w:hAnsi="Times New Roman"/>
        </w:rPr>
        <w:t>those</w:t>
      </w:r>
      <w:r w:rsidR="00F56221" w:rsidRPr="00923720">
        <w:rPr>
          <w:rFonts w:ascii="Times New Roman" w:hAnsi="Times New Roman"/>
        </w:rPr>
        <w:t xml:space="preserve"> plans. </w:t>
      </w:r>
      <w:r w:rsidR="00BC0645" w:rsidRPr="00923720">
        <w:rPr>
          <w:rFonts w:ascii="Times New Roman" w:hAnsi="Times New Roman"/>
        </w:rPr>
        <w:t>The Conservation Commission should consider the applicant’s proposal for these two crossings in light of the significant wetland impact of each.</w:t>
      </w:r>
      <w:r w:rsidRPr="00923720">
        <w:rPr>
          <w:rFonts w:ascii="Times New Roman" w:hAnsi="Times New Roman"/>
        </w:rPr>
        <w:t xml:space="preserve"> The Trust believes the serious impact of each crossing warrants the Commission’s denial of a limited project designation for each, but the Commission can appropriately consider them.</w:t>
      </w:r>
    </w:p>
    <w:p w14:paraId="19755AFC" w14:textId="13D2881E" w:rsidR="00BC0645" w:rsidRPr="00923720" w:rsidRDefault="00923720">
      <w:pPr>
        <w:rPr>
          <w:rFonts w:ascii="Times New Roman" w:hAnsi="Times New Roman"/>
        </w:rPr>
      </w:pPr>
      <w:r w:rsidRPr="00923720">
        <w:rPr>
          <w:rFonts w:ascii="Times New Roman" w:hAnsi="Times New Roman"/>
        </w:rPr>
        <w:t>T</w:t>
      </w:r>
      <w:r w:rsidR="00BC0645" w:rsidRPr="00923720">
        <w:rPr>
          <w:rFonts w:ascii="Times New Roman" w:hAnsi="Times New Roman"/>
        </w:rPr>
        <w:t xml:space="preserve">here is no </w:t>
      </w:r>
      <w:r w:rsidRPr="00923720">
        <w:rPr>
          <w:rFonts w:ascii="Times New Roman" w:hAnsi="Times New Roman"/>
        </w:rPr>
        <w:t>basis for</w:t>
      </w:r>
      <w:r w:rsidR="00BC0645" w:rsidRPr="00923720">
        <w:rPr>
          <w:rFonts w:ascii="Times New Roman" w:hAnsi="Times New Roman"/>
        </w:rPr>
        <w:t xml:space="preserve"> the Commission even consider</w:t>
      </w:r>
      <w:r w:rsidRPr="00923720">
        <w:rPr>
          <w:rFonts w:ascii="Times New Roman" w:hAnsi="Times New Roman"/>
        </w:rPr>
        <w:t>ing</w:t>
      </w:r>
      <w:r w:rsidR="00BC0645" w:rsidRPr="00923720">
        <w:rPr>
          <w:rFonts w:ascii="Times New Roman" w:hAnsi="Times New Roman"/>
        </w:rPr>
        <w:t xml:space="preserve"> the third crossing. It is not necessary to provide access to any other upland area. It exists solely to increase the development potential of the parcel. Nothing in 310 CMR 10 suggests that the Commission has the authority to designate such a crossing as a limited project. Such a designation would suggest that any development could have as many wetland crossings as the applicant desires and would set a very dangerous precedent for </w:t>
      </w:r>
      <w:r w:rsidR="00610DA8" w:rsidRPr="00923720">
        <w:rPr>
          <w:rFonts w:ascii="Times New Roman" w:hAnsi="Times New Roman"/>
        </w:rPr>
        <w:t>future projects. As th</w:t>
      </w:r>
      <w:r w:rsidRPr="00923720">
        <w:rPr>
          <w:rFonts w:ascii="Times New Roman" w:hAnsi="Times New Roman"/>
        </w:rPr>
        <w:t>is</w:t>
      </w:r>
      <w:r w:rsidR="00610DA8" w:rsidRPr="00923720">
        <w:rPr>
          <w:rFonts w:ascii="Times New Roman" w:hAnsi="Times New Roman"/>
        </w:rPr>
        <w:t xml:space="preserve"> third wetland crossing clearly does not meet the criteria for a limited project, it must be prohibited since the provisions of 310 CMR 10.55(e) are not overridden:</w:t>
      </w:r>
    </w:p>
    <w:p w14:paraId="034FB397" w14:textId="63B7F388" w:rsidR="00BC0645" w:rsidRPr="00923720" w:rsidRDefault="00BC0645" w:rsidP="00610DA8">
      <w:pPr>
        <w:pStyle w:val="Quote"/>
        <w:jc w:val="left"/>
        <w:rPr>
          <w:rFonts w:ascii="Times New Roman" w:hAnsi="Times New Roman"/>
        </w:rPr>
      </w:pPr>
      <w:r w:rsidRPr="00923720">
        <w:rPr>
          <w:rFonts w:ascii="Times New Roman" w:hAnsi="Times New Roman"/>
        </w:rPr>
        <w:t>Any proposed work shall not destroy or otherwise impair any portion of a Bordering Vegetated Wetland that is within an Area of Critical Environmental Concern designated by the Secretary of Energy and Environmental Affairs under M.G.L. c. 21A, § 2(7) and 301 CMR 12.00:  Areas of Critical Environmental Concern.</w:t>
      </w:r>
    </w:p>
    <w:p w14:paraId="23068924" w14:textId="45A42406" w:rsidR="00610DA8" w:rsidRDefault="00610DA8" w:rsidP="00610DA8">
      <w:pPr>
        <w:rPr>
          <w:rFonts w:ascii="Times New Roman" w:hAnsi="Times New Roman"/>
        </w:rPr>
      </w:pPr>
      <w:r w:rsidRPr="00923720">
        <w:rPr>
          <w:rFonts w:ascii="Times New Roman" w:hAnsi="Times New Roman"/>
        </w:rPr>
        <w:t>The Trust has further and specific concerns about the applicant’s assessment of wetland impacts, the sufficiency of the proposed “Wetland Mitigation Plan”, and the project’s impacts on habitat and water quality. But those concerns are secondary to the applicant’s assumption that three limited project designations are approved. Those concerns should be reviewed in the context of a revised proposal from the applicant that does not include wetland crossings the Conservation Commission should not and – in the case of a third crossing – may not permit.</w:t>
      </w:r>
    </w:p>
    <w:p w14:paraId="4506C987" w14:textId="306E2798" w:rsidR="00985941" w:rsidRDefault="00985941" w:rsidP="00610DA8">
      <w:pPr>
        <w:rPr>
          <w:rFonts w:ascii="Times New Roman" w:hAnsi="Times New Roman"/>
        </w:rPr>
      </w:pPr>
    </w:p>
    <w:p w14:paraId="3E325BB4" w14:textId="11D75DAC" w:rsidR="00985941" w:rsidRDefault="00985941" w:rsidP="00610DA8">
      <w:pPr>
        <w:rPr>
          <w:rFonts w:ascii="Times New Roman" w:hAnsi="Times New Roman"/>
        </w:rPr>
      </w:pPr>
      <w:r>
        <w:rPr>
          <w:rFonts w:ascii="Times New Roman" w:hAnsi="Times New Roman"/>
        </w:rPr>
        <w:lastRenderedPageBreak/>
        <w:t>Sincerely,</w:t>
      </w:r>
    </w:p>
    <w:p w14:paraId="1DBC7688" w14:textId="11CBD596" w:rsidR="00985941" w:rsidRDefault="00423C9E" w:rsidP="00610DA8">
      <w:pPr>
        <w:rPr>
          <w:rFonts w:ascii="Times New Roman" w:hAnsi="Times New Roman"/>
        </w:rPr>
      </w:pPr>
      <w:r>
        <w:rPr>
          <w:rFonts w:ascii="Times New Roman" w:hAnsi="Times New Roman"/>
          <w:noProof/>
          <w14:numForm w14:val="default"/>
        </w:rPr>
        <mc:AlternateContent>
          <mc:Choice Requires="wpi">
            <w:drawing>
              <wp:anchor distT="0" distB="0" distL="114300" distR="114300" simplePos="0" relativeHeight="251664384" behindDoc="0" locked="0" layoutInCell="1" allowOverlap="1" wp14:anchorId="6386A182" wp14:editId="6F4B58BD">
                <wp:simplePos x="0" y="0"/>
                <wp:positionH relativeFrom="column">
                  <wp:posOffset>-112395</wp:posOffset>
                </wp:positionH>
                <wp:positionV relativeFrom="paragraph">
                  <wp:posOffset>-347980</wp:posOffset>
                </wp:positionV>
                <wp:extent cx="2879265" cy="850680"/>
                <wp:effectExtent l="38100" t="38100" r="54610" b="45085"/>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2879265" cy="850680"/>
                      </w14:xfrm>
                    </w14:contentPart>
                  </a:graphicData>
                </a:graphic>
              </wp:anchor>
            </w:drawing>
          </mc:Choice>
          <mc:Fallback>
            <w:pict>
              <v:shapetype w14:anchorId="346DC5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9.55pt;margin-top:-28.1pt;width:228.1pt;height:68.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">
                <v:imagedata r:id="rId8" o:title=""/>
              </v:shape>
            </w:pict>
          </mc:Fallback>
        </mc:AlternateContent>
      </w:r>
    </w:p>
    <w:p w14:paraId="675561D9" w14:textId="5197A017" w:rsidR="00985941" w:rsidRDefault="00985941" w:rsidP="00610DA8">
      <w:pPr>
        <w:rPr>
          <w:rFonts w:ascii="Times New Roman" w:hAnsi="Times New Roman"/>
        </w:rPr>
      </w:pPr>
    </w:p>
    <w:p w14:paraId="40E57F87" w14:textId="1ECB9F6D" w:rsidR="00985941" w:rsidRDefault="00985941" w:rsidP="00610DA8">
      <w:pPr>
        <w:rPr>
          <w:rFonts w:ascii="Times New Roman" w:hAnsi="Times New Roman"/>
        </w:rPr>
      </w:pPr>
      <w:r>
        <w:rPr>
          <w:rFonts w:ascii="Times New Roman" w:hAnsi="Times New Roman"/>
        </w:rPr>
        <w:t xml:space="preserve">Ted Lapres- President- Groton Conservation Trust </w:t>
      </w:r>
    </w:p>
    <w:p w14:paraId="04AFE9E6" w14:textId="6BACD31A" w:rsidR="00584009" w:rsidRDefault="00584009" w:rsidP="00610DA8">
      <w:pPr>
        <w:rPr>
          <w:rFonts w:ascii="Times New Roman" w:hAnsi="Times New Roman"/>
        </w:rPr>
      </w:pPr>
    </w:p>
    <w:p w14:paraId="602B6F46" w14:textId="7D58C0BE" w:rsidR="00584009" w:rsidRDefault="00584009" w:rsidP="00610DA8">
      <w:pPr>
        <w:rPr>
          <w:rFonts w:ascii="Times New Roman" w:hAnsi="Times New Roman"/>
        </w:rPr>
      </w:pPr>
    </w:p>
    <w:p w14:paraId="50E743F1" w14:textId="07A082AE" w:rsidR="00584009" w:rsidRPr="00923720" w:rsidRDefault="00584009" w:rsidP="00610DA8">
      <w:pPr>
        <w:rPr>
          <w:rFonts w:ascii="Times New Roman" w:hAnsi="Times New Roman"/>
        </w:rPr>
      </w:pPr>
      <w:r>
        <w:rPr>
          <w:rFonts w:ascii="Times New Roman" w:hAnsi="Times New Roman"/>
        </w:rPr>
        <w:t>CC Town of Groton Planning Board</w:t>
      </w:r>
      <w:r w:rsidR="0041548D">
        <w:rPr>
          <w:rFonts w:ascii="Times New Roman" w:hAnsi="Times New Roman"/>
        </w:rPr>
        <w:t>-c/o Takashi Tada</w:t>
      </w:r>
    </w:p>
    <w:sectPr w:rsidR="00584009" w:rsidRPr="00923720" w:rsidSect="00EA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morant">
    <w:altName w:val="Calibri"/>
    <w:charset w:val="4D"/>
    <w:family w:val="auto"/>
    <w:pitch w:val="variable"/>
    <w:sig w:usb0="20000207" w:usb1="00000001" w:usb2="00000000" w:usb3="00000000" w:csb0="00000197" w:csb1="00000000"/>
  </w:font>
  <w:font w:name="Times New Roman (Headings CS)">
    <w:altName w:val="Times New Roman"/>
    <w:charset w:val="00"/>
    <w:family w:val="roman"/>
    <w:pitch w:val="variable"/>
    <w:sig w:usb0="E0002AEF" w:usb1="C0007841"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C73C7"/>
    <w:multiLevelType w:val="hybridMultilevel"/>
    <w:tmpl w:val="81086E1C"/>
    <w:lvl w:ilvl="0" w:tplc="C066C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21"/>
    <w:rsid w:val="000C21C4"/>
    <w:rsid w:val="0041548D"/>
    <w:rsid w:val="00423C9E"/>
    <w:rsid w:val="00425128"/>
    <w:rsid w:val="00481AF2"/>
    <w:rsid w:val="00584009"/>
    <w:rsid w:val="00610DA8"/>
    <w:rsid w:val="007077AB"/>
    <w:rsid w:val="00720E21"/>
    <w:rsid w:val="008342CF"/>
    <w:rsid w:val="00874E18"/>
    <w:rsid w:val="00923720"/>
    <w:rsid w:val="00985941"/>
    <w:rsid w:val="009D34C7"/>
    <w:rsid w:val="00B30AD5"/>
    <w:rsid w:val="00BC0645"/>
    <w:rsid w:val="00D167E5"/>
    <w:rsid w:val="00E51200"/>
    <w:rsid w:val="00EA6510"/>
    <w:rsid w:val="00F5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CE72"/>
  <w15:chartTrackingRefBased/>
  <w15:docId w15:val="{43A3C41B-9E58-8543-8B63-30FF947C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D5"/>
    <w:pPr>
      <w:spacing w:after="120"/>
    </w:pPr>
    <w:rPr>
      <w:rFonts w:ascii="Cormorant" w:hAnsi="Cormorant" w:cs="Times New Roman"/>
      <w14:numForm w14:val="lining"/>
    </w:rPr>
  </w:style>
  <w:style w:type="paragraph" w:styleId="Heading1">
    <w:name w:val="heading 1"/>
    <w:basedOn w:val="Normal"/>
    <w:next w:val="Normal"/>
    <w:link w:val="Heading1Char"/>
    <w:uiPriority w:val="9"/>
    <w:qFormat/>
    <w:rsid w:val="00B30AD5"/>
    <w:pPr>
      <w:keepNext/>
      <w:keepLines/>
      <w:outlineLvl w:val="0"/>
    </w:pPr>
    <w:rPr>
      <w:rFonts w:eastAsiaTheme="majorEastAsia" w:cs="Times New Roman (Headings CS)"/>
      <w:b/>
      <w:smallCaps/>
      <w:color w:val="4472C4" w:themeColor="accent1"/>
      <w:sz w:val="28"/>
    </w:rPr>
  </w:style>
  <w:style w:type="paragraph" w:styleId="Heading2">
    <w:name w:val="heading 2"/>
    <w:basedOn w:val="Heading1"/>
    <w:next w:val="Normal"/>
    <w:link w:val="Heading2Char"/>
    <w:uiPriority w:val="9"/>
    <w:unhideWhenUsed/>
    <w:qFormat/>
    <w:rsid w:val="00B30AD5"/>
    <w:pPr>
      <w:outlineLvl w:val="1"/>
    </w:pPr>
    <w:rPr>
      <w:b w:val="0"/>
      <w:sz w:val="24"/>
    </w:rPr>
  </w:style>
  <w:style w:type="paragraph" w:styleId="Heading3">
    <w:name w:val="heading 3"/>
    <w:basedOn w:val="Heading2"/>
    <w:next w:val="Normal"/>
    <w:link w:val="Heading3Char"/>
    <w:uiPriority w:val="9"/>
    <w:unhideWhenUsed/>
    <w:qFormat/>
    <w:rsid w:val="00B30AD5"/>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AD5"/>
    <w:rPr>
      <w:rFonts w:ascii="Cormorant" w:eastAsiaTheme="majorEastAsia" w:hAnsi="Cormorant" w:cs="Times New Roman (Headings CS)"/>
      <w:b/>
      <w:smallCaps/>
      <w:color w:val="4472C4" w:themeColor="accent1"/>
      <w:sz w:val="28"/>
      <w14:numForm w14:val="lining"/>
    </w:rPr>
  </w:style>
  <w:style w:type="character" w:customStyle="1" w:styleId="Heading3Char">
    <w:name w:val="Heading 3 Char"/>
    <w:basedOn w:val="DefaultParagraphFont"/>
    <w:link w:val="Heading3"/>
    <w:uiPriority w:val="9"/>
    <w:rsid w:val="00B30AD5"/>
    <w:rPr>
      <w:rFonts w:ascii="Cormorant" w:eastAsiaTheme="majorEastAsia" w:hAnsi="Cormorant" w:cs="Times New Roman (Headings CS)"/>
      <w:i/>
      <w:smallCaps/>
      <w:color w:val="4472C4" w:themeColor="accent1"/>
      <w14:numForm w14:val="lining"/>
    </w:rPr>
  </w:style>
  <w:style w:type="character" w:customStyle="1" w:styleId="Heading2Char">
    <w:name w:val="Heading 2 Char"/>
    <w:basedOn w:val="DefaultParagraphFont"/>
    <w:link w:val="Heading2"/>
    <w:uiPriority w:val="9"/>
    <w:rsid w:val="00B30AD5"/>
    <w:rPr>
      <w:rFonts w:ascii="Cormorant" w:eastAsiaTheme="majorEastAsia" w:hAnsi="Cormorant" w:cs="Times New Roman (Headings CS)"/>
      <w:smallCaps/>
      <w:color w:val="4472C4" w:themeColor="accent1"/>
      <w14:numForm w14:val="lining"/>
    </w:rPr>
  </w:style>
  <w:style w:type="paragraph" w:styleId="Title">
    <w:name w:val="Title"/>
    <w:basedOn w:val="Normal"/>
    <w:next w:val="Normal"/>
    <w:link w:val="TitleChar"/>
    <w:autoRedefine/>
    <w:uiPriority w:val="10"/>
    <w:qFormat/>
    <w:rsid w:val="009D34C7"/>
    <w:pPr>
      <w:spacing w:after="240"/>
      <w:jc w:val="center"/>
    </w:pPr>
    <w:rPr>
      <w:rFonts w:eastAsiaTheme="majorEastAsia" w:cs="Times New Roman (Headings CS)"/>
      <w:smallCaps/>
      <w:kern w:val="28"/>
      <w:sz w:val="44"/>
      <w:szCs w:val="48"/>
    </w:rPr>
  </w:style>
  <w:style w:type="character" w:customStyle="1" w:styleId="TitleChar">
    <w:name w:val="Title Char"/>
    <w:basedOn w:val="DefaultParagraphFont"/>
    <w:link w:val="Title"/>
    <w:uiPriority w:val="10"/>
    <w:rsid w:val="009D34C7"/>
    <w:rPr>
      <w:rFonts w:ascii="Cormorant" w:eastAsiaTheme="majorEastAsia" w:hAnsi="Cormorant" w:cs="Times New Roman (Headings CS)"/>
      <w:smallCaps/>
      <w:kern w:val="28"/>
      <w:sz w:val="44"/>
      <w:szCs w:val="48"/>
      <w14:numForm w14:val="lining"/>
    </w:rPr>
  </w:style>
  <w:style w:type="paragraph" w:styleId="Subtitle">
    <w:name w:val="Subtitle"/>
    <w:basedOn w:val="Title"/>
    <w:next w:val="Normal"/>
    <w:link w:val="SubtitleChar"/>
    <w:uiPriority w:val="11"/>
    <w:qFormat/>
    <w:rsid w:val="00B30AD5"/>
    <w:pPr>
      <w:numPr>
        <w:ilvl w:val="1"/>
      </w:numPr>
    </w:pPr>
    <w:rPr>
      <w:rFonts w:eastAsiaTheme="minorEastAsia"/>
      <w:smallCaps w:val="0"/>
      <w:spacing w:val="15"/>
      <w:sz w:val="28"/>
      <w:szCs w:val="22"/>
    </w:rPr>
  </w:style>
  <w:style w:type="character" w:customStyle="1" w:styleId="SubtitleChar">
    <w:name w:val="Subtitle Char"/>
    <w:basedOn w:val="DefaultParagraphFont"/>
    <w:link w:val="Subtitle"/>
    <w:uiPriority w:val="11"/>
    <w:rsid w:val="00B30AD5"/>
    <w:rPr>
      <w:rFonts w:ascii="Cormorant" w:eastAsiaTheme="minorEastAsia" w:hAnsi="Cormorant" w:cs="Times New Roman (Headings CS)"/>
      <w:spacing w:val="15"/>
      <w:kern w:val="28"/>
      <w:sz w:val="28"/>
      <w:szCs w:val="22"/>
      <w14:numForm w14:val="lining"/>
    </w:rPr>
  </w:style>
  <w:style w:type="paragraph" w:customStyle="1" w:styleId="Code">
    <w:name w:val="Code"/>
    <w:basedOn w:val="Normal"/>
    <w:qFormat/>
    <w:rsid w:val="00425128"/>
    <w:rPr>
      <w:rFonts w:ascii="Courier" w:hAnsi="Courier"/>
      <w:b/>
    </w:rPr>
  </w:style>
  <w:style w:type="paragraph" w:styleId="Quote">
    <w:name w:val="Quote"/>
    <w:basedOn w:val="Normal"/>
    <w:next w:val="Normal"/>
    <w:link w:val="QuoteChar"/>
    <w:uiPriority w:val="29"/>
    <w:qFormat/>
    <w:rsid w:val="00F562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6221"/>
    <w:rPr>
      <w:rFonts w:ascii="Cormorant" w:hAnsi="Cormorant" w:cs="Times New Roman"/>
      <w:i/>
      <w:iCs/>
      <w:color w:val="404040" w:themeColor="text1" w:themeTint="BF"/>
      <w14:numForm w14:val="lining"/>
    </w:rPr>
  </w:style>
  <w:style w:type="character" w:styleId="Hyperlink">
    <w:name w:val="Hyperlink"/>
    <w:basedOn w:val="DefaultParagraphFont"/>
    <w:uiPriority w:val="99"/>
    <w:unhideWhenUsed/>
    <w:rsid w:val="008342CF"/>
    <w:rPr>
      <w:color w:val="0563C1" w:themeColor="hyperlink"/>
      <w:u w:val="single"/>
    </w:rPr>
  </w:style>
  <w:style w:type="character" w:styleId="UnresolvedMention">
    <w:name w:val="Unresolved Mention"/>
    <w:basedOn w:val="DefaultParagraphFont"/>
    <w:uiPriority w:val="99"/>
    <w:semiHidden/>
    <w:unhideWhenUsed/>
    <w:rsid w:val="0083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15060">
      <w:bodyDiv w:val="1"/>
      <w:marLeft w:val="0"/>
      <w:marRight w:val="0"/>
      <w:marTop w:val="0"/>
      <w:marBottom w:val="0"/>
      <w:divBdr>
        <w:top w:val="none" w:sz="0" w:space="0" w:color="auto"/>
        <w:left w:val="none" w:sz="0" w:space="0" w:color="auto"/>
        <w:bottom w:val="none" w:sz="0" w:space="0" w:color="auto"/>
        <w:right w:val="none" w:sz="0" w:space="0" w:color="auto"/>
      </w:divBdr>
    </w:div>
    <w:div w:id="12172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guides/wetlands-policy-88-2-access-roadway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2T15:21:48.135"/>
    </inkml:context>
    <inkml:brush xml:id="br0">
      <inkml:brushProperty name="width" value="0.05" units="cm"/>
      <inkml:brushProperty name="height" value="0.05" units="cm"/>
      <inkml:brushProperty name="ignorePressure" value="1"/>
    </inkml:brush>
  </inkml:definitions>
  <inkml:trace contextRef="#ctx0" brushRef="#br0">68 1952,'0'0,"0"0,0 0,1 0,42 1,-23 0,1 0,-1-2,25-3,-4-6,0-1,0-2,-1-2,-1-1,0-2,-1-2,41-29,232-193,-260 198,331-264,-219 180,-153 119,-2 2,-14 14,-22 25,1 2,-42 68,-32 83,90-164,-142 293,126-249,3 1,-31 135,40-91,15-96,-1 1,2 0,0-1,1 1,4 19,5-4</inkml:trace>
  <inkml:trace contextRef="#ctx0" brushRef="#br0" timeOffset="605.95">1 1123,'0'0,"1"1,5 0,-1-1,0 1,0-1,1 0,-1 0,0-1,1 1,-1-1,0 0,0-1,0 1,0-1,0 0,0 0,0-1,-1 1,1-1,4-4,8-7,0-1,-1-1,16-19,5-5,-12 15,1 2,1 1,1 2,1 0,1 2,1 1,0 1,1 2,0 1,1 2,1 1,0 1,36-3,-12 7,1 2,-1 4,0 1,109 20,225 75,-348-85,380 100,-322-91,1-4,120 4,-78-19</inkml:trace>
  <inkml:trace contextRef="#ctx0" brushRef="#br0" timeOffset="1945.44">842 1662,'0'0,"1"2,3 4,0 0,0 0,0 0,1 0,0 0,0-1,0 0,1 0,0-1,0 1,10 5,-7-6,0 0,0-1,1 0,-1 0,1-1,0 0,-1 0,16-1,0-1,-1-1,1-2,-1 0,0-2,0-1,30-11,8-6,66-37,-37 12,-3-3,-2-5,-3-3,143-131,-145 104,-73 76,-1-1,0 1,0-1,-1-1,0 1,7-24,-12 31,0 0,0 1,0-1,-1 0,0 0,1 1,-2-1,1 0,0 0,-1 1,1-1,-3-5,2 6,0 0,0 1,-1-1,1 1,-1 0,1 0,-1-1,0 1,0 0,0 1,0-1,-1 0,1 0,0 1,-1 0,1-1,-4 0,-1-1,0 1,-1 0,0 0,1 0,-1 1,0 1,0-1,-10 1,-8 3,-31 6,22-2,0 1,1 2,0 2,1 1,-49 26,57-24,0 1,2 1,0 0,1 2,0 1,2 1,-24 30,19-17,2 2,1 0,2 2,2 0,1 1,-18 65,25-66,1 1,2 0,2 0,2 0,1 1,2 0,7 46,-5-66,2 0,0 0,2-1,0 0,1 0,1 0,0-1,2 0,14 20,-16-27,1 0,0 0,1-1,1 0,-1-1,1 0,1-1,0 0,0-1,0 0,1-1,0 0,25 7,-15-8,0-1,0-1,1-1,-1-1,0-1,1-1,-1-1,42-9,-13-2,0-2,85-38,-67 21,119-75,-155 85,-2-2,0-1,-2-1,-1-2,33-40,-51 54,-1-1,-1 1,0-1,-1-1,-1 0,0 0,4-18,-8 24,0 0,-2-1,1 1,-1 0,-1-1,1 1,-2 0,0-1,0 1,-1 0,0 0,0-1,-5-8,5 14,0 0,0 1,-1-1,1 1,-1 0,0 0,-6-6,8 9,0 0,0 0,0 0,0 0,-1 0,1 1,0-1,0 0,-1 1,1-1,0 1,-1-1,1 1,-1 0,1 0,-1-1,1 1,0 0,-1 0,1 0,-1 1,1-1,-1 0,1 0,0 1,-1-1,1 1,0-1,-1 1,-1 1,0 0,-1 1,1 0,0-1,0 1,0 1,1-1,-1 0,-3 6,-16 35,-6 32,-35 153,54-192,4-17,-5 19,1-1,2 1,-2 59,9-95,0 1,0-1,0 0,0 1,1-1,-1 1,1-1,0 0,0 1,0-1,1 0,-1 0,4 5,-5-7,1-1,0 1,-1-1,1 1,0 0,0-1,-1 0,1 1,0-1,0 0,0 1,0-1,-1 0,1 0,0 1,0-1,0 0,0 0,0 0,0 0,0-1,2 1,0-1,-1 0,1 0,0 0,-1 0,0-1,1 1,-1-1,4-3,8-6,-1-2,0 0,11-16,35-52,17-36,-5-3,-6-4,-5-1,-5-4,48-171,-85 237,-3-1,-3 0,6-91,-17 134,-1 0,-2 0,-5-35,6 49,-1 0,0 1,-1-1,1 0,-1 1,0 0,-8-12,10 17,0-1,-1 0,0 0,1 1,-1-1,0 1,0-1,0 1,1 0,-2 0,1 0,0 0,0 0,0 0,0 1,0-1,-1 1,1-1,0 1,-1 0,1 0,0 0,-1 0,1 0,-4 1,1 1,-1 0,1 0,0 0,0 1,0 0,0 0,1 0,-1 1,1-1,0 1,0 0,0 0,-4 5,-3 6,1 1,0-1,-8 19,2 1,2 1,1 0,2 1,1 0,3 0,0 1,3 0,0 65,5-60,2 0,2-1,1 0,3 0,1 0,2-1,30 67,-24-73,2-1,1-1,2-1,1 0,1-2,1-1,34 28,68 48,-127-105</inkml:trace>
  <inkml:trace contextRef="#ctx0" brushRef="#br0" timeOffset="3730.12">3465 724,'16'7,"7"1,0 0,0-2,1-1,-1 0,40 1,-29-5,1-2,-1-1,49-9,-22-3,-1-3,0-2,109-53,-18-7,-4-6,201-154,-290 195,72-71,-121 105,-1 1,0-1,7-11,-14 20,0 0,0-1,-1 1,1 0,-1 0,1-1,-1 1,1-1,-1 1,0-3,0 4,0 0,0-1,0 1,0 0,0 0,0 0,0-1,0 1,0 0,0 0,0-1,-1 1,1 0,0 0,0 0,0 0,0-1,-1 1,1 0,0 0,0 0,0 0,-1 0,1 0,0 0,0-1,-1 1,1 0,0 0,0 0,0 0,-1 0,1 0,0 0,0 0,-1 0,-3 1,1 0,-1 0,1 0,0 0,-1 1,1-1,-5 4,-36 24,1 3,-40 36,77-62,-399 379,24 31,37 0,264-307,-127 235,193-318,2 1,-12 37,21-52,5-9,0-4,-1 0,0-1,1 1,-1-1,0 0,0 1,0-1,1-2,70-138,-24 46,-18 39,2 1,3 2,72-86,-86 117,1 0,1 2,0 1,2 1,0 1,1 1,1 1,0 1,50-18,-63 28,1 1,0 0,1 1,-1 0,1 1,19 1,-25 1,1 1,-1 0,0 1,0 0,0 1,0 0,0 1,-1 0,1 0,10 8,-1 1,0 0,-1 2,0 1,30 35,53 80,-26-22,97 124,-158-217,25 21,-34-33,0 0,0 0,0-1,1 1,-1-1,1-1,0 1,0-1,8 2,-12-3,-1-1,1 0,0 0,-1 0,1 1,-1-1,1-1,-1 1,1 0,-1 0,1-1,-1 1,1 0,-1-1,1 0,1 0,-2 0,0 0,0 0,0 0,0 0,0 0,-1 0,1 0,0 0,-1 0,1 0,-1 0,1 0,-1 0,1 0,-1-1,1-1,-1-1,0 0,0 0,0 0,-1-1,1 1,-1 0,0 0,0 0,0 0,-4-7,-1 1,0 1,0-1,-1 1,0 1,-1-1,-11-8,-14-18,33 35,0 0,0 0,-1 0,1 0,0 0,0 0,0 0,0-1,-1 1,1 0,0 0,0 0,0 0,0-1,0 1,0 0,-1 0,1 0,0-1,0 1,0 0,0 0,0-1,0 1,0 0,0 0,0 0,0-1,0 1,0 0,0 0,0 0,0-1,0 1,1 0,-1 0,0 0,0-1,0 1,0 0,0 0,0 0,0 0,1-1,-1 1,0 0,0 0,0 0,0 0,1 0,-1-1,0 1,0 0,0 0,1 0,-1 0,16-1,-13 1,11 0,52-1,125-16,-101-2,-1-3,134-55,160-93,-374 166,13-7,0 1,0 0,0 1,29-7,-49 15,0 0,1 1,-1 0,0 0,0-1,1 1,-1 1,0-1,0 0,1 0,-1 1,0 0,3 0,-4 0,0 0,1-1,-1 1,0 0,0 0,0 0,-1 0,1 0,0 0,0 0,0 0,-1 0,1 0,-1 0,1 0,-1 1,1 1,0 3,0 0,-1 1,0-1,0 0,-1 0,1 0,-1 0,-3 10,-8 25,-27 67,-29 37,62-132,-156 297,46-92,116-217,-12 22,0 1,-7 25,15-24,6-15,-2-10,0 0,1 0,-1 1,0-1,0 0,0 0,1 0,-1 0,0 0,1 1,-1-1,0 0,0 0,1 0,-1 0,0 0,0 0,1 0,-1 0,0 0,1 0,-1 0,0 0,0 0,1 0,-1 0,0 0,1-1,-1 1,0 0,1 0,0-1,1 0,-1 0,0 0,1 0,-1 0,0-1,0 1,0 0,1-1,-2 1,1 0,0-1,0 0,0 1,-1-1,1 1,0-1,-1 0,0 1,1-1,-1 0,0 0,0 1,0-1,0-3,-1-5,0 0,0 1,-4-12,-1-6,1-1,-3-50,8 62,1 0,0 0,1-1,1 1,0 0,8-21,8-8,1 1,2 2,1 0,3 1,40-49,-36 54,1 1,1 1,3 2,0 1,2 2,1 1,1 3,45-23,-48 30,0 2,1 2,0 1,2 2,-1 2,1 1,0 2,1 2,76 1,-68 7,-1 3,1 1,-2 3,1 1,-2 3,64 29,249 150,-59-28,-269-151,1-1,1-2,0-1,51 11,-78-21,1 0,0-1,0 1,-1-1,1 0,0-1,0 0,0 0,-1 0,1 0,0-1,7-3,-11 4,0 0,0 0,-1-1,1 1,0 0,-1-1,0 0,1 1,-1-1,0 1,0-1,1 0,-2 0,3-3,-2 1,-1 1,1 0,-1 0,1-1,-1 1,0 0,0-1,-1 1,1 0,-1-1,-1-4,-2-4,0 2,-1-1,0 0,0 1,-14-19,-42-44,-16-9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ndev</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McNierney</dc:creator>
  <cp:keywords/>
  <dc:description/>
  <cp:lastModifiedBy>Takashi Tada</cp:lastModifiedBy>
  <cp:revision>2</cp:revision>
  <dcterms:created xsi:type="dcterms:W3CDTF">2021-01-12T16:36:00Z</dcterms:created>
  <dcterms:modified xsi:type="dcterms:W3CDTF">2021-01-12T16:36:00Z</dcterms:modified>
</cp:coreProperties>
</file>